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南银理财珠联璧合鑫逸稳一年79期封闭式公募人民币理财产品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南银理财珠联璧合鑫逸稳一年79期封闭式公募人民币理财产品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Z7003222000061（投资者可依据该编码在中国理财网www.chinawealth.com.cn查询理财产品相关信息）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2022年09月21日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653,752,403.00份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华夏基金管理有限公司、鑫元基金管理有限公司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Y30079</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45,860,751.50</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1.0135</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1.0135</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Y31079</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465,220,183.49</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1.0146</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1.0146</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Y32079</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152,274,820.90</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1.0151</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1.0151</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截至报告期末，本产品Y30079份额净值为1.0135元，Y31079份额净值为1.0146元，Y32079份额净值为1.0151元。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ZZGJT202005290001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鑫元基金-鑫安利得51号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303,826,144.49</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45.80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22881276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22滨江投资13</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24.12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22881280</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22泰华信05</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79,000,000.00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11.91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22881221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22扬州科丰01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6.03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ZJQTT202103180021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华夏基金恒益1号集合资产管理计划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35,188,136.95</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5.30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22881219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22启东国资04</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35,000,000.00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5.28</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扬州科丰高新产业投资开发集团有限公司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22扬州科丰01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176</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泰州华信药业投资有限公司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22泰华信05</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183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启东国有资产投资控股有限公司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22启东国资04</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176</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南京滨江投资发展有限公司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22滨江投资13</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183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0120010000000907</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南银理财鑫逸稳一年79期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116,314.34</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